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3D" w:rsidRPr="00AB703D" w:rsidRDefault="00AB703D" w:rsidP="00AB703D">
      <w:pPr>
        <w:jc w:val="center"/>
        <w:rPr>
          <w:b/>
          <w:sz w:val="28"/>
          <w:szCs w:val="28"/>
          <w:lang w:val="kk-KZ" w:eastAsia="ko-KR"/>
        </w:rPr>
      </w:pPr>
      <w:r w:rsidRPr="00AB703D">
        <w:rPr>
          <w:b/>
          <w:sz w:val="28"/>
          <w:szCs w:val="28"/>
          <w:lang w:val="kk-KZ" w:eastAsia="ko-KR"/>
        </w:rPr>
        <w:t>№9 ЛАБ</w:t>
      </w:r>
    </w:p>
    <w:p w:rsidR="00AB703D" w:rsidRDefault="00AB703D" w:rsidP="00AB703D">
      <w:pPr>
        <w:jc w:val="both"/>
        <w:rPr>
          <w:sz w:val="28"/>
          <w:szCs w:val="28"/>
          <w:lang w:val="kk-KZ" w:eastAsia="ko-KR"/>
        </w:rPr>
      </w:pPr>
    </w:p>
    <w:p w:rsidR="00AB703D" w:rsidRPr="006029B4" w:rsidRDefault="00AB703D" w:rsidP="00AB703D">
      <w:p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 </w:t>
      </w:r>
      <w:r w:rsidRPr="006029B4">
        <w:rPr>
          <w:sz w:val="28"/>
          <w:szCs w:val="28"/>
          <w:lang w:val="kk-KZ" w:eastAsia="ko-KR"/>
        </w:rPr>
        <w:t>Баспасөздің дамуындағы Германияның айрықша рөлі. Неміс баспасөзі концентрациялануының қарқынды дамуы. Жаңа монополиялардың құрылуы. “Берлин қабырғасы“ тұсындағы бұқаралық ақпарат құралдары. Неміс журналистикасының қазіргі бет- бейнесі. Ақпарат агенттіктері.</w:t>
      </w:r>
    </w:p>
    <w:p w:rsidR="00A637E2" w:rsidRDefault="00AB703D" w:rsidP="00AB703D">
      <w:r w:rsidRPr="006029B4">
        <w:rPr>
          <w:sz w:val="28"/>
          <w:szCs w:val="28"/>
          <w:lang w:val="kk-KZ"/>
        </w:rPr>
        <w:t>.</w:t>
      </w:r>
    </w:p>
    <w:sectPr w:rsidR="00A637E2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B703D"/>
    <w:rsid w:val="00A637E2"/>
    <w:rsid w:val="00AB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2012-02-07T14:07:00Z</dcterms:created>
  <dcterms:modified xsi:type="dcterms:W3CDTF">2012-02-07T14:08:00Z</dcterms:modified>
</cp:coreProperties>
</file>